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70" w:rsidRDefault="00984270">
      <w:r>
        <w:t>Introduction</w:t>
      </w:r>
    </w:p>
    <w:p w:rsidR="00984270" w:rsidRDefault="00984270"/>
    <w:p w:rsidR="002E333D" w:rsidRDefault="00170410">
      <w:r>
        <w:t xml:space="preserve">Since the 1800’s, two factors have remained constant in the city of Woonsocket; immigrants/minorities, and poverty. Starting with French immigrants in the late 1800’s the majority of the residents of Woonsocket live at or below the poverty level. Because of this there has been less importance placed on higher education and more on maintaining a source of income which, for over 100 years, has meant finding a job in the labor force. Also, opposed to other cities, there is no real portion that is better-off than the others. All of these factors </w:t>
      </w:r>
      <w:r w:rsidR="00984270">
        <w:t>have</w:t>
      </w:r>
      <w:r>
        <w:t xml:space="preserve"> resulted in a cyclical effect causing poverty to be an ever-present part of Woonsocket. </w:t>
      </w:r>
    </w:p>
    <w:p w:rsidR="00170410" w:rsidRDefault="00170410">
      <w:r>
        <w:t xml:space="preserve">Woonsocket high school is the only high school in the city. Statistical averages from the school, compared to the state, are significantly worse across the board, from attendance and graduation rates to standardized test scores. </w:t>
      </w:r>
      <w:r w:rsidR="00984270">
        <w:t xml:space="preserve">This report will cover statistics comparing the economic status of the Woonsocket population with the performance of the Woonsocket High School student body. </w:t>
      </w:r>
    </w:p>
    <w:p w:rsidR="00984270" w:rsidRDefault="00984270"/>
    <w:p w:rsidR="00984270" w:rsidRDefault="00984270" w:rsidP="00984270">
      <w:pPr>
        <w:jc w:val="center"/>
      </w:pPr>
      <w:r>
        <w:t>Community Background</w:t>
      </w:r>
    </w:p>
    <w:p w:rsidR="00984270" w:rsidRDefault="00984270" w:rsidP="00984270">
      <w:r>
        <w:t>Income/Poverty</w:t>
      </w:r>
    </w:p>
    <w:tbl>
      <w:tblPr>
        <w:tblStyle w:val="TableGrid"/>
        <w:tblW w:w="9585" w:type="dxa"/>
        <w:tblLook w:val="04A0" w:firstRow="1" w:lastRow="0" w:firstColumn="1" w:lastColumn="0" w:noHBand="0" w:noVBand="1"/>
      </w:tblPr>
      <w:tblGrid>
        <w:gridCol w:w="3195"/>
        <w:gridCol w:w="3195"/>
        <w:gridCol w:w="3195"/>
      </w:tblGrid>
      <w:tr w:rsidR="00984270" w:rsidTr="00984270">
        <w:trPr>
          <w:trHeight w:val="304"/>
        </w:trPr>
        <w:tc>
          <w:tcPr>
            <w:tcW w:w="3195" w:type="dxa"/>
          </w:tcPr>
          <w:p w:rsidR="00984270" w:rsidRDefault="00984270"/>
        </w:tc>
        <w:tc>
          <w:tcPr>
            <w:tcW w:w="3195" w:type="dxa"/>
          </w:tcPr>
          <w:p w:rsidR="00984270" w:rsidRDefault="00984270">
            <w:r>
              <w:t>Woonsocket</w:t>
            </w:r>
          </w:p>
        </w:tc>
        <w:tc>
          <w:tcPr>
            <w:tcW w:w="3195" w:type="dxa"/>
          </w:tcPr>
          <w:p w:rsidR="00984270" w:rsidRDefault="00984270">
            <w:r>
              <w:t>Rhode Island</w:t>
            </w:r>
          </w:p>
        </w:tc>
      </w:tr>
      <w:tr w:rsidR="00984270" w:rsidTr="00984270">
        <w:trPr>
          <w:trHeight w:val="304"/>
        </w:trPr>
        <w:tc>
          <w:tcPr>
            <w:tcW w:w="3195" w:type="dxa"/>
          </w:tcPr>
          <w:p w:rsidR="00984270" w:rsidRDefault="00984270">
            <w:r>
              <w:t>Median Household Income</w:t>
            </w:r>
          </w:p>
        </w:tc>
        <w:tc>
          <w:tcPr>
            <w:tcW w:w="3195" w:type="dxa"/>
          </w:tcPr>
          <w:p w:rsidR="00984270" w:rsidRDefault="00A44036">
            <w:r>
              <w:t>$</w:t>
            </w:r>
            <w:r w:rsidR="00984270">
              <w:t>39,329</w:t>
            </w:r>
          </w:p>
        </w:tc>
        <w:tc>
          <w:tcPr>
            <w:tcW w:w="3195" w:type="dxa"/>
          </w:tcPr>
          <w:p w:rsidR="00984270" w:rsidRDefault="00A44036">
            <w:r>
              <w:t>$</w:t>
            </w:r>
            <w:r w:rsidR="00984270">
              <w:t>55,975</w:t>
            </w:r>
          </w:p>
        </w:tc>
      </w:tr>
      <w:tr w:rsidR="00984270" w:rsidTr="00984270">
        <w:trPr>
          <w:trHeight w:val="304"/>
        </w:trPr>
        <w:tc>
          <w:tcPr>
            <w:tcW w:w="3195" w:type="dxa"/>
          </w:tcPr>
          <w:p w:rsidR="00984270" w:rsidRDefault="00984270">
            <w:r>
              <w:t>Median Family Income</w:t>
            </w:r>
          </w:p>
        </w:tc>
        <w:tc>
          <w:tcPr>
            <w:tcW w:w="3195" w:type="dxa"/>
          </w:tcPr>
          <w:p w:rsidR="00984270" w:rsidRDefault="00A44036">
            <w:r>
              <w:t>$</w:t>
            </w:r>
            <w:r w:rsidR="00984270">
              <w:t>60,071</w:t>
            </w:r>
          </w:p>
        </w:tc>
        <w:tc>
          <w:tcPr>
            <w:tcW w:w="3195" w:type="dxa"/>
          </w:tcPr>
          <w:p w:rsidR="00984270" w:rsidRDefault="00A44036">
            <w:r>
              <w:t>$</w:t>
            </w:r>
            <w:r w:rsidR="00984270">
              <w:t>71</w:t>
            </w:r>
            <w:r>
              <w:t>,</w:t>
            </w:r>
            <w:r w:rsidR="00984270">
              <w:t>724</w:t>
            </w:r>
          </w:p>
        </w:tc>
      </w:tr>
      <w:tr w:rsidR="00984270" w:rsidTr="00984270">
        <w:trPr>
          <w:trHeight w:val="304"/>
        </w:trPr>
        <w:tc>
          <w:tcPr>
            <w:tcW w:w="3195" w:type="dxa"/>
          </w:tcPr>
          <w:p w:rsidR="00984270" w:rsidRDefault="00984270">
            <w:r>
              <w:t>All families below poverty level</w:t>
            </w:r>
          </w:p>
        </w:tc>
        <w:tc>
          <w:tcPr>
            <w:tcW w:w="3195" w:type="dxa"/>
          </w:tcPr>
          <w:p w:rsidR="00984270" w:rsidRDefault="00984270">
            <w:r>
              <w:t>18.2</w:t>
            </w:r>
            <w:r w:rsidR="00D8305A">
              <w:t>%</w:t>
            </w:r>
          </w:p>
        </w:tc>
        <w:tc>
          <w:tcPr>
            <w:tcW w:w="3195" w:type="dxa"/>
          </w:tcPr>
          <w:p w:rsidR="00984270" w:rsidRDefault="00984270">
            <w:r>
              <w:t>8.9</w:t>
            </w:r>
            <w:r w:rsidR="00D8305A">
              <w:t>%</w:t>
            </w:r>
          </w:p>
        </w:tc>
      </w:tr>
      <w:tr w:rsidR="00984270" w:rsidTr="00984270">
        <w:trPr>
          <w:trHeight w:val="638"/>
        </w:trPr>
        <w:tc>
          <w:tcPr>
            <w:tcW w:w="3195" w:type="dxa"/>
          </w:tcPr>
          <w:p w:rsidR="00984270" w:rsidRDefault="00984270">
            <w:r>
              <w:t>All people below the poverty level</w:t>
            </w:r>
          </w:p>
        </w:tc>
        <w:tc>
          <w:tcPr>
            <w:tcW w:w="3195" w:type="dxa"/>
          </w:tcPr>
          <w:p w:rsidR="00984270" w:rsidRDefault="00984270">
            <w:r>
              <w:t>22.2</w:t>
            </w:r>
            <w:r w:rsidR="00D8305A">
              <w:t>%</w:t>
            </w:r>
          </w:p>
        </w:tc>
        <w:tc>
          <w:tcPr>
            <w:tcW w:w="3195" w:type="dxa"/>
          </w:tcPr>
          <w:p w:rsidR="00984270" w:rsidRDefault="00984270">
            <w:r>
              <w:t>12.8</w:t>
            </w:r>
            <w:r w:rsidR="00D8305A">
              <w:t>%</w:t>
            </w:r>
          </w:p>
        </w:tc>
      </w:tr>
      <w:tr w:rsidR="00984270" w:rsidTr="00984270">
        <w:tc>
          <w:tcPr>
            <w:tcW w:w="3195" w:type="dxa"/>
          </w:tcPr>
          <w:p w:rsidR="00984270" w:rsidRDefault="00984270" w:rsidP="00E154F8">
            <w:r>
              <w:t>Children under 18 below poverty</w:t>
            </w:r>
          </w:p>
        </w:tc>
        <w:tc>
          <w:tcPr>
            <w:tcW w:w="3195" w:type="dxa"/>
          </w:tcPr>
          <w:p w:rsidR="00984270" w:rsidRDefault="00984270" w:rsidP="00E154F8">
            <w:r>
              <w:t>35.2%</w:t>
            </w:r>
          </w:p>
        </w:tc>
        <w:tc>
          <w:tcPr>
            <w:tcW w:w="3195" w:type="dxa"/>
          </w:tcPr>
          <w:p w:rsidR="00984270" w:rsidRDefault="00984270" w:rsidP="00E154F8"/>
        </w:tc>
      </w:tr>
      <w:tr w:rsidR="00984270" w:rsidTr="00984270">
        <w:tc>
          <w:tcPr>
            <w:tcW w:w="3195" w:type="dxa"/>
          </w:tcPr>
          <w:p w:rsidR="00984270" w:rsidRDefault="00984270" w:rsidP="00E154F8">
            <w:r>
              <w:t xml:space="preserve">Females w/ no husband </w:t>
            </w:r>
          </w:p>
        </w:tc>
        <w:tc>
          <w:tcPr>
            <w:tcW w:w="3195" w:type="dxa"/>
          </w:tcPr>
          <w:p w:rsidR="00984270" w:rsidRDefault="00984270" w:rsidP="00E154F8">
            <w:r>
              <w:t>52.3%</w:t>
            </w:r>
          </w:p>
        </w:tc>
        <w:tc>
          <w:tcPr>
            <w:tcW w:w="3195" w:type="dxa"/>
          </w:tcPr>
          <w:p w:rsidR="00984270" w:rsidRDefault="00984270" w:rsidP="00E154F8"/>
        </w:tc>
      </w:tr>
      <w:tr w:rsidR="00984270" w:rsidTr="00984270">
        <w:tc>
          <w:tcPr>
            <w:tcW w:w="3195" w:type="dxa"/>
          </w:tcPr>
          <w:p w:rsidR="00984270" w:rsidRDefault="00984270" w:rsidP="00E154F8">
            <w:r>
              <w:t>Percentage on food stamps</w:t>
            </w:r>
          </w:p>
        </w:tc>
        <w:tc>
          <w:tcPr>
            <w:tcW w:w="3195" w:type="dxa"/>
          </w:tcPr>
          <w:p w:rsidR="00984270" w:rsidRDefault="00984270" w:rsidP="00E154F8">
            <w:r>
              <w:t>20.0%</w:t>
            </w:r>
          </w:p>
        </w:tc>
        <w:tc>
          <w:tcPr>
            <w:tcW w:w="3195" w:type="dxa"/>
          </w:tcPr>
          <w:p w:rsidR="00984270" w:rsidRDefault="00984270" w:rsidP="00E154F8"/>
        </w:tc>
      </w:tr>
    </w:tbl>
    <w:p w:rsidR="00984270" w:rsidRDefault="00984270">
      <w:r>
        <w:t xml:space="preserve"> </w:t>
      </w:r>
    </w:p>
    <w:p w:rsidR="00984270" w:rsidRDefault="00984270">
      <w:r>
        <w:t>Race/Ethnicity</w:t>
      </w:r>
    </w:p>
    <w:tbl>
      <w:tblPr>
        <w:tblStyle w:val="TableGrid"/>
        <w:tblW w:w="0" w:type="auto"/>
        <w:tblLook w:val="04A0" w:firstRow="1" w:lastRow="0" w:firstColumn="1" w:lastColumn="0" w:noHBand="0" w:noVBand="1"/>
      </w:tblPr>
      <w:tblGrid>
        <w:gridCol w:w="3192"/>
        <w:gridCol w:w="3192"/>
        <w:gridCol w:w="3192"/>
      </w:tblGrid>
      <w:tr w:rsidR="00984270" w:rsidTr="00984270">
        <w:tc>
          <w:tcPr>
            <w:tcW w:w="3192" w:type="dxa"/>
          </w:tcPr>
          <w:p w:rsidR="00984270" w:rsidRDefault="00984270"/>
        </w:tc>
        <w:tc>
          <w:tcPr>
            <w:tcW w:w="3192" w:type="dxa"/>
          </w:tcPr>
          <w:p w:rsidR="00984270" w:rsidRDefault="00984270">
            <w:r>
              <w:t>Woonsocket</w:t>
            </w:r>
          </w:p>
        </w:tc>
        <w:tc>
          <w:tcPr>
            <w:tcW w:w="3192" w:type="dxa"/>
          </w:tcPr>
          <w:p w:rsidR="00984270" w:rsidRDefault="00984270">
            <w:r>
              <w:t>Rhode Island</w:t>
            </w:r>
          </w:p>
        </w:tc>
      </w:tr>
      <w:tr w:rsidR="00984270" w:rsidTr="00984270">
        <w:tc>
          <w:tcPr>
            <w:tcW w:w="3192" w:type="dxa"/>
          </w:tcPr>
          <w:p w:rsidR="00984270" w:rsidRDefault="00984270">
            <w:r>
              <w:t>White</w:t>
            </w:r>
          </w:p>
        </w:tc>
        <w:tc>
          <w:tcPr>
            <w:tcW w:w="3192" w:type="dxa"/>
          </w:tcPr>
          <w:p w:rsidR="00984270" w:rsidRDefault="00D8305A">
            <w:r>
              <w:t>77.7%</w:t>
            </w:r>
          </w:p>
        </w:tc>
        <w:tc>
          <w:tcPr>
            <w:tcW w:w="3192" w:type="dxa"/>
          </w:tcPr>
          <w:p w:rsidR="00984270" w:rsidRDefault="00D8305A">
            <w:r>
              <w:t>81.4%</w:t>
            </w:r>
          </w:p>
        </w:tc>
      </w:tr>
      <w:tr w:rsidR="00984270" w:rsidTr="00984270">
        <w:tc>
          <w:tcPr>
            <w:tcW w:w="3192" w:type="dxa"/>
          </w:tcPr>
          <w:p w:rsidR="00984270" w:rsidRDefault="00984270">
            <w:r>
              <w:t>Black/African Americans</w:t>
            </w:r>
          </w:p>
        </w:tc>
        <w:tc>
          <w:tcPr>
            <w:tcW w:w="3192" w:type="dxa"/>
          </w:tcPr>
          <w:p w:rsidR="00984270" w:rsidRDefault="00D8305A">
            <w:r>
              <w:t>6.4%</w:t>
            </w:r>
          </w:p>
        </w:tc>
        <w:tc>
          <w:tcPr>
            <w:tcW w:w="3192" w:type="dxa"/>
          </w:tcPr>
          <w:p w:rsidR="00984270" w:rsidRDefault="00D8305A">
            <w:r>
              <w:t>5.7%</w:t>
            </w:r>
          </w:p>
        </w:tc>
      </w:tr>
      <w:tr w:rsidR="00984270" w:rsidTr="00984270">
        <w:tc>
          <w:tcPr>
            <w:tcW w:w="3192" w:type="dxa"/>
          </w:tcPr>
          <w:p w:rsidR="00984270" w:rsidRDefault="00984270">
            <w:r>
              <w:t>Asian</w:t>
            </w:r>
          </w:p>
        </w:tc>
        <w:tc>
          <w:tcPr>
            <w:tcW w:w="3192" w:type="dxa"/>
          </w:tcPr>
          <w:p w:rsidR="00984270" w:rsidRDefault="00D8305A">
            <w:r>
              <w:t>5.4%</w:t>
            </w:r>
          </w:p>
        </w:tc>
        <w:tc>
          <w:tcPr>
            <w:tcW w:w="3192" w:type="dxa"/>
          </w:tcPr>
          <w:p w:rsidR="00984270" w:rsidRDefault="00D8305A">
            <w:r>
              <w:t>2.9%</w:t>
            </w:r>
          </w:p>
        </w:tc>
      </w:tr>
      <w:tr w:rsidR="00984270" w:rsidTr="00984270">
        <w:tc>
          <w:tcPr>
            <w:tcW w:w="3192" w:type="dxa"/>
          </w:tcPr>
          <w:p w:rsidR="00984270" w:rsidRDefault="00984270">
            <w:r>
              <w:t>Hispanic or Latino</w:t>
            </w:r>
          </w:p>
        </w:tc>
        <w:tc>
          <w:tcPr>
            <w:tcW w:w="3192" w:type="dxa"/>
          </w:tcPr>
          <w:p w:rsidR="00984270" w:rsidRDefault="00D8305A">
            <w:r>
              <w:t>14.2%</w:t>
            </w:r>
          </w:p>
        </w:tc>
        <w:tc>
          <w:tcPr>
            <w:tcW w:w="3192" w:type="dxa"/>
          </w:tcPr>
          <w:p w:rsidR="00984270" w:rsidRDefault="00D8305A">
            <w:r>
              <w:t>12.4%</w:t>
            </w:r>
          </w:p>
        </w:tc>
      </w:tr>
      <w:tr w:rsidR="00984270" w:rsidTr="00984270">
        <w:tc>
          <w:tcPr>
            <w:tcW w:w="3192" w:type="dxa"/>
          </w:tcPr>
          <w:p w:rsidR="00984270" w:rsidRDefault="00984270">
            <w:r>
              <w:t>American Indian and Alaska Native</w:t>
            </w:r>
          </w:p>
        </w:tc>
        <w:tc>
          <w:tcPr>
            <w:tcW w:w="3192" w:type="dxa"/>
          </w:tcPr>
          <w:p w:rsidR="00984270" w:rsidRDefault="00D8305A">
            <w:r>
              <w:t>0.4%</w:t>
            </w:r>
          </w:p>
        </w:tc>
        <w:tc>
          <w:tcPr>
            <w:tcW w:w="3192" w:type="dxa"/>
          </w:tcPr>
          <w:p w:rsidR="00984270" w:rsidRDefault="00D8305A">
            <w:r>
              <w:t>0.4%</w:t>
            </w:r>
          </w:p>
        </w:tc>
      </w:tr>
      <w:tr w:rsidR="00984270" w:rsidTr="00984270">
        <w:tc>
          <w:tcPr>
            <w:tcW w:w="3192" w:type="dxa"/>
          </w:tcPr>
          <w:p w:rsidR="00984270" w:rsidRDefault="00984270">
            <w:r>
              <w:t>Total Population</w:t>
            </w:r>
          </w:p>
        </w:tc>
        <w:tc>
          <w:tcPr>
            <w:tcW w:w="3192" w:type="dxa"/>
          </w:tcPr>
          <w:p w:rsidR="00984270" w:rsidRDefault="00D8305A">
            <w:r>
              <w:t>41</w:t>
            </w:r>
            <w:r w:rsidR="00A44036">
              <w:t>,</w:t>
            </w:r>
            <w:r>
              <w:t>186</w:t>
            </w:r>
          </w:p>
        </w:tc>
        <w:tc>
          <w:tcPr>
            <w:tcW w:w="3192" w:type="dxa"/>
          </w:tcPr>
          <w:p w:rsidR="00984270" w:rsidRDefault="00984270"/>
        </w:tc>
      </w:tr>
      <w:tr w:rsidR="00984270" w:rsidTr="00984270">
        <w:tc>
          <w:tcPr>
            <w:tcW w:w="3192" w:type="dxa"/>
          </w:tcPr>
          <w:p w:rsidR="00984270" w:rsidRDefault="00984270">
            <w:r>
              <w:t>Population ages 0-19</w:t>
            </w:r>
          </w:p>
        </w:tc>
        <w:tc>
          <w:tcPr>
            <w:tcW w:w="3192" w:type="dxa"/>
          </w:tcPr>
          <w:p w:rsidR="00984270" w:rsidRDefault="00D8305A">
            <w:r>
              <w:t>10</w:t>
            </w:r>
            <w:r w:rsidR="00A44036">
              <w:t>,</w:t>
            </w:r>
            <w:r>
              <w:t>942</w:t>
            </w:r>
          </w:p>
        </w:tc>
        <w:tc>
          <w:tcPr>
            <w:tcW w:w="3192" w:type="dxa"/>
          </w:tcPr>
          <w:p w:rsidR="00984270" w:rsidRDefault="00984270"/>
        </w:tc>
      </w:tr>
    </w:tbl>
    <w:p w:rsidR="00984270" w:rsidRDefault="00984270"/>
    <w:p w:rsidR="00D8305A" w:rsidRDefault="00D8305A" w:rsidP="00D8305A">
      <w:pPr>
        <w:jc w:val="center"/>
      </w:pPr>
      <w:r>
        <w:lastRenderedPageBreak/>
        <w:t>District Summary</w:t>
      </w:r>
      <w:r w:rsidR="00A44036">
        <w:t>/School Analysis</w:t>
      </w:r>
    </w:p>
    <w:p w:rsidR="00D8305A" w:rsidRDefault="00D8305A" w:rsidP="00D8305A">
      <w:r>
        <w:t>NECAP Scores</w:t>
      </w:r>
    </w:p>
    <w:tbl>
      <w:tblPr>
        <w:tblStyle w:val="TableGrid"/>
        <w:tblW w:w="0" w:type="auto"/>
        <w:tblLook w:val="04A0" w:firstRow="1" w:lastRow="0" w:firstColumn="1" w:lastColumn="0" w:noHBand="0" w:noVBand="1"/>
      </w:tblPr>
      <w:tblGrid>
        <w:gridCol w:w="3192"/>
        <w:gridCol w:w="3192"/>
        <w:gridCol w:w="3192"/>
      </w:tblGrid>
      <w:tr w:rsidR="00D8305A" w:rsidTr="00D8305A">
        <w:tc>
          <w:tcPr>
            <w:tcW w:w="3192" w:type="dxa"/>
          </w:tcPr>
          <w:p w:rsidR="00D8305A" w:rsidRDefault="00D8305A" w:rsidP="00D8305A">
            <w:r>
              <w:t>NECAP Assessments</w:t>
            </w:r>
          </w:p>
        </w:tc>
        <w:tc>
          <w:tcPr>
            <w:tcW w:w="3192" w:type="dxa"/>
          </w:tcPr>
          <w:p w:rsidR="00D8305A" w:rsidRDefault="00D8305A" w:rsidP="00D8305A">
            <w:r>
              <w:t>Woonsocket</w:t>
            </w:r>
          </w:p>
        </w:tc>
        <w:tc>
          <w:tcPr>
            <w:tcW w:w="3192" w:type="dxa"/>
          </w:tcPr>
          <w:p w:rsidR="00D8305A" w:rsidRDefault="00D8305A" w:rsidP="00D8305A">
            <w:r>
              <w:t>Rhode Island</w:t>
            </w:r>
          </w:p>
        </w:tc>
      </w:tr>
      <w:tr w:rsidR="00D8305A" w:rsidTr="00D8305A">
        <w:tc>
          <w:tcPr>
            <w:tcW w:w="3192" w:type="dxa"/>
          </w:tcPr>
          <w:p w:rsidR="00D8305A" w:rsidRDefault="00D8305A" w:rsidP="00D8305A">
            <w:r>
              <w:t>11</w:t>
            </w:r>
            <w:r w:rsidRPr="00D8305A">
              <w:rPr>
                <w:vertAlign w:val="superscript"/>
              </w:rPr>
              <w:t>th</w:t>
            </w:r>
            <w:r>
              <w:t xml:space="preserve"> Grade Math</w:t>
            </w:r>
          </w:p>
        </w:tc>
        <w:tc>
          <w:tcPr>
            <w:tcW w:w="3192" w:type="dxa"/>
          </w:tcPr>
          <w:p w:rsidR="00D8305A" w:rsidRDefault="00D8305A" w:rsidP="00D8305A">
            <w:r>
              <w:t>20</w:t>
            </w:r>
            <w:r w:rsidR="00A44036">
              <w:t>%</w:t>
            </w:r>
          </w:p>
        </w:tc>
        <w:tc>
          <w:tcPr>
            <w:tcW w:w="3192" w:type="dxa"/>
          </w:tcPr>
          <w:p w:rsidR="00D8305A" w:rsidRDefault="00D8305A" w:rsidP="00D8305A">
            <w:r>
              <w:t>34</w:t>
            </w:r>
            <w:r w:rsidR="00A44036">
              <w:t>%</w:t>
            </w:r>
          </w:p>
        </w:tc>
      </w:tr>
      <w:tr w:rsidR="00D8305A" w:rsidTr="00D8305A">
        <w:tc>
          <w:tcPr>
            <w:tcW w:w="3192" w:type="dxa"/>
          </w:tcPr>
          <w:p w:rsidR="00D8305A" w:rsidRDefault="00D8305A" w:rsidP="00D8305A">
            <w:r>
              <w:t>11</w:t>
            </w:r>
            <w:r w:rsidRPr="00D8305A">
              <w:rPr>
                <w:vertAlign w:val="superscript"/>
              </w:rPr>
              <w:t>th</w:t>
            </w:r>
            <w:r>
              <w:t xml:space="preserve"> Grade Reading</w:t>
            </w:r>
          </w:p>
        </w:tc>
        <w:tc>
          <w:tcPr>
            <w:tcW w:w="3192" w:type="dxa"/>
          </w:tcPr>
          <w:p w:rsidR="00D8305A" w:rsidRDefault="00D8305A" w:rsidP="00D8305A">
            <w:r>
              <w:t>67</w:t>
            </w:r>
            <w:r w:rsidR="00A44036">
              <w:t>%</w:t>
            </w:r>
          </w:p>
        </w:tc>
        <w:tc>
          <w:tcPr>
            <w:tcW w:w="3192" w:type="dxa"/>
          </w:tcPr>
          <w:p w:rsidR="00D8305A" w:rsidRDefault="00D8305A" w:rsidP="00D8305A">
            <w:r>
              <w:t>79</w:t>
            </w:r>
            <w:r w:rsidR="00A44036">
              <w:t>%</w:t>
            </w:r>
          </w:p>
        </w:tc>
      </w:tr>
      <w:tr w:rsidR="00D8305A" w:rsidTr="00D8305A">
        <w:tc>
          <w:tcPr>
            <w:tcW w:w="3192" w:type="dxa"/>
          </w:tcPr>
          <w:p w:rsidR="00D8305A" w:rsidRDefault="00D8305A" w:rsidP="00D8305A">
            <w:r>
              <w:t>11</w:t>
            </w:r>
            <w:r w:rsidRPr="00D8305A">
              <w:rPr>
                <w:vertAlign w:val="superscript"/>
              </w:rPr>
              <w:t>th</w:t>
            </w:r>
            <w:r>
              <w:t xml:space="preserve"> Grade Writing</w:t>
            </w:r>
          </w:p>
        </w:tc>
        <w:tc>
          <w:tcPr>
            <w:tcW w:w="3192" w:type="dxa"/>
          </w:tcPr>
          <w:p w:rsidR="00D8305A" w:rsidRDefault="00D8305A" w:rsidP="00D8305A">
            <w:r>
              <w:t>33</w:t>
            </w:r>
            <w:r w:rsidR="00A44036">
              <w:t>%</w:t>
            </w:r>
          </w:p>
        </w:tc>
        <w:tc>
          <w:tcPr>
            <w:tcW w:w="3192" w:type="dxa"/>
          </w:tcPr>
          <w:p w:rsidR="00D8305A" w:rsidRDefault="00D8305A" w:rsidP="00D8305A">
            <w:r>
              <w:t>50</w:t>
            </w:r>
            <w:r w:rsidR="00A44036">
              <w:t>%</w:t>
            </w:r>
          </w:p>
        </w:tc>
      </w:tr>
      <w:tr w:rsidR="00D8305A" w:rsidTr="00D8305A">
        <w:tc>
          <w:tcPr>
            <w:tcW w:w="3192" w:type="dxa"/>
          </w:tcPr>
          <w:p w:rsidR="00D8305A" w:rsidRDefault="00D8305A" w:rsidP="00D8305A">
            <w:r>
              <w:t>11</w:t>
            </w:r>
            <w:r w:rsidRPr="00D8305A">
              <w:rPr>
                <w:vertAlign w:val="superscript"/>
              </w:rPr>
              <w:t>th</w:t>
            </w:r>
            <w:r>
              <w:t xml:space="preserve"> Grade Science</w:t>
            </w:r>
          </w:p>
        </w:tc>
        <w:tc>
          <w:tcPr>
            <w:tcW w:w="3192" w:type="dxa"/>
          </w:tcPr>
          <w:p w:rsidR="00D8305A" w:rsidRDefault="00D8305A" w:rsidP="00D8305A">
            <w:r>
              <w:t>12</w:t>
            </w:r>
            <w:r w:rsidR="00A44036">
              <w:t>%</w:t>
            </w:r>
          </w:p>
        </w:tc>
        <w:tc>
          <w:tcPr>
            <w:tcW w:w="3192" w:type="dxa"/>
          </w:tcPr>
          <w:p w:rsidR="00D8305A" w:rsidRDefault="00D8305A" w:rsidP="00D8305A">
            <w:r>
              <w:t>32</w:t>
            </w:r>
            <w:r w:rsidR="00A44036">
              <w:t>%</w:t>
            </w:r>
          </w:p>
        </w:tc>
      </w:tr>
    </w:tbl>
    <w:p w:rsidR="00D8305A" w:rsidRDefault="00D8305A" w:rsidP="00D8305A"/>
    <w:p w:rsidR="00D8305A" w:rsidRDefault="00D8305A" w:rsidP="00D8305A">
      <w:r>
        <w:t>Teacher-Student Ratio</w:t>
      </w:r>
    </w:p>
    <w:tbl>
      <w:tblPr>
        <w:tblStyle w:val="TableGrid"/>
        <w:tblW w:w="0" w:type="auto"/>
        <w:tblLook w:val="04A0" w:firstRow="1" w:lastRow="0" w:firstColumn="1" w:lastColumn="0" w:noHBand="0" w:noVBand="1"/>
      </w:tblPr>
      <w:tblGrid>
        <w:gridCol w:w="3192"/>
        <w:gridCol w:w="3192"/>
        <w:gridCol w:w="3192"/>
      </w:tblGrid>
      <w:tr w:rsidR="00D8305A" w:rsidTr="00D8305A">
        <w:tc>
          <w:tcPr>
            <w:tcW w:w="3192" w:type="dxa"/>
          </w:tcPr>
          <w:p w:rsidR="00D8305A" w:rsidRDefault="00D8305A" w:rsidP="00D8305A">
            <w:r>
              <w:t>Qualifications and Teacher-student Ratio</w:t>
            </w:r>
          </w:p>
        </w:tc>
        <w:tc>
          <w:tcPr>
            <w:tcW w:w="3192" w:type="dxa"/>
          </w:tcPr>
          <w:p w:rsidR="00D8305A" w:rsidRDefault="00D8305A" w:rsidP="00D8305A">
            <w:r>
              <w:t>Woonsocket</w:t>
            </w:r>
          </w:p>
        </w:tc>
        <w:tc>
          <w:tcPr>
            <w:tcW w:w="3192" w:type="dxa"/>
          </w:tcPr>
          <w:p w:rsidR="00D8305A" w:rsidRDefault="00D8305A" w:rsidP="00D8305A">
            <w:r>
              <w:t>Rhode Island</w:t>
            </w:r>
          </w:p>
        </w:tc>
      </w:tr>
      <w:tr w:rsidR="00D8305A" w:rsidTr="00D8305A">
        <w:tc>
          <w:tcPr>
            <w:tcW w:w="3192" w:type="dxa"/>
          </w:tcPr>
          <w:p w:rsidR="00D8305A" w:rsidRDefault="00D8305A" w:rsidP="00D8305A">
            <w:r>
              <w:t>Teachers with Emergency Certification</w:t>
            </w:r>
          </w:p>
        </w:tc>
        <w:tc>
          <w:tcPr>
            <w:tcW w:w="3192" w:type="dxa"/>
          </w:tcPr>
          <w:p w:rsidR="00D8305A" w:rsidRDefault="00D8305A" w:rsidP="00D8305A">
            <w:r>
              <w:t>4</w:t>
            </w:r>
            <w:r w:rsidR="00A44036">
              <w:t>%</w:t>
            </w:r>
          </w:p>
        </w:tc>
        <w:tc>
          <w:tcPr>
            <w:tcW w:w="3192" w:type="dxa"/>
          </w:tcPr>
          <w:p w:rsidR="00D8305A" w:rsidRDefault="00D8305A" w:rsidP="00D8305A">
            <w:r>
              <w:t>1</w:t>
            </w:r>
            <w:r w:rsidR="00A44036">
              <w:t>%</w:t>
            </w:r>
          </w:p>
        </w:tc>
      </w:tr>
      <w:tr w:rsidR="00D8305A" w:rsidTr="00D8305A">
        <w:tc>
          <w:tcPr>
            <w:tcW w:w="3192" w:type="dxa"/>
          </w:tcPr>
          <w:p w:rsidR="00D8305A" w:rsidRDefault="00D8305A" w:rsidP="00D8305A">
            <w:r>
              <w:t>Not Highly Qualified Teachers</w:t>
            </w:r>
          </w:p>
        </w:tc>
        <w:tc>
          <w:tcPr>
            <w:tcW w:w="3192" w:type="dxa"/>
          </w:tcPr>
          <w:p w:rsidR="00D8305A" w:rsidRDefault="00D8305A" w:rsidP="00D8305A">
            <w:r>
              <w:t>5</w:t>
            </w:r>
            <w:r w:rsidR="00A44036">
              <w:t>%</w:t>
            </w:r>
          </w:p>
        </w:tc>
        <w:tc>
          <w:tcPr>
            <w:tcW w:w="3192" w:type="dxa"/>
          </w:tcPr>
          <w:p w:rsidR="00D8305A" w:rsidRDefault="00D8305A" w:rsidP="00D8305A">
            <w:r>
              <w:t>3</w:t>
            </w:r>
            <w:r w:rsidR="00A44036">
              <w:t>%</w:t>
            </w:r>
          </w:p>
        </w:tc>
      </w:tr>
      <w:tr w:rsidR="00D8305A" w:rsidTr="00D8305A">
        <w:tc>
          <w:tcPr>
            <w:tcW w:w="3192" w:type="dxa"/>
          </w:tcPr>
          <w:p w:rsidR="00D8305A" w:rsidRDefault="00D8305A" w:rsidP="00D8305A">
            <w:r>
              <w:t>Teacher-Student Ratio</w:t>
            </w:r>
          </w:p>
        </w:tc>
        <w:tc>
          <w:tcPr>
            <w:tcW w:w="3192" w:type="dxa"/>
          </w:tcPr>
          <w:p w:rsidR="00D8305A" w:rsidRDefault="00D8305A" w:rsidP="00D8305A">
            <w:r>
              <w:t>1:11</w:t>
            </w:r>
          </w:p>
        </w:tc>
        <w:tc>
          <w:tcPr>
            <w:tcW w:w="3192" w:type="dxa"/>
          </w:tcPr>
          <w:p w:rsidR="00D8305A" w:rsidRDefault="00D8305A" w:rsidP="00D8305A">
            <w:r>
              <w:t>1:11</w:t>
            </w:r>
          </w:p>
        </w:tc>
      </w:tr>
    </w:tbl>
    <w:p w:rsidR="00D8305A" w:rsidRDefault="00D8305A" w:rsidP="00D8305A"/>
    <w:p w:rsidR="00D8305A" w:rsidRDefault="00D8305A" w:rsidP="00D8305A">
      <w:r>
        <w:t>Student Body Poverty Info</w:t>
      </w:r>
    </w:p>
    <w:tbl>
      <w:tblPr>
        <w:tblStyle w:val="TableGrid"/>
        <w:tblW w:w="0" w:type="auto"/>
        <w:tblLook w:val="04A0" w:firstRow="1" w:lastRow="0" w:firstColumn="1" w:lastColumn="0" w:noHBand="0" w:noVBand="1"/>
      </w:tblPr>
      <w:tblGrid>
        <w:gridCol w:w="3192"/>
        <w:gridCol w:w="3192"/>
        <w:gridCol w:w="3192"/>
      </w:tblGrid>
      <w:tr w:rsidR="00D8305A" w:rsidTr="00D8305A">
        <w:tc>
          <w:tcPr>
            <w:tcW w:w="3192" w:type="dxa"/>
          </w:tcPr>
          <w:p w:rsidR="00D8305A" w:rsidRDefault="00D8305A" w:rsidP="00D8305A">
            <w:r>
              <w:t>Student Characteristics</w:t>
            </w:r>
          </w:p>
        </w:tc>
        <w:tc>
          <w:tcPr>
            <w:tcW w:w="3192" w:type="dxa"/>
          </w:tcPr>
          <w:p w:rsidR="00D8305A" w:rsidRDefault="00D8305A" w:rsidP="00D8305A">
            <w:r>
              <w:t xml:space="preserve">Woonsocket </w:t>
            </w:r>
          </w:p>
        </w:tc>
        <w:tc>
          <w:tcPr>
            <w:tcW w:w="3192" w:type="dxa"/>
          </w:tcPr>
          <w:p w:rsidR="00D8305A" w:rsidRDefault="00D8305A" w:rsidP="00D8305A">
            <w:r>
              <w:t>Rhode Island</w:t>
            </w:r>
          </w:p>
        </w:tc>
      </w:tr>
      <w:tr w:rsidR="00D8305A" w:rsidTr="00D8305A">
        <w:tc>
          <w:tcPr>
            <w:tcW w:w="3192" w:type="dxa"/>
          </w:tcPr>
          <w:p w:rsidR="00D8305A" w:rsidRDefault="00D8305A" w:rsidP="00D8305A">
            <w:r>
              <w:t>Student eligibility for subsidized lunch</w:t>
            </w:r>
          </w:p>
        </w:tc>
        <w:tc>
          <w:tcPr>
            <w:tcW w:w="3192" w:type="dxa"/>
          </w:tcPr>
          <w:p w:rsidR="00D8305A" w:rsidRDefault="00D8305A" w:rsidP="00D8305A">
            <w:r>
              <w:t>72</w:t>
            </w:r>
            <w:r w:rsidR="00A44036">
              <w:t>%</w:t>
            </w:r>
          </w:p>
        </w:tc>
        <w:tc>
          <w:tcPr>
            <w:tcW w:w="3192" w:type="dxa"/>
          </w:tcPr>
          <w:p w:rsidR="00D8305A" w:rsidRDefault="00D8305A" w:rsidP="00D8305A">
            <w:r>
              <w:t>46</w:t>
            </w:r>
            <w:r w:rsidR="00A44036">
              <w:t>%</w:t>
            </w:r>
          </w:p>
        </w:tc>
      </w:tr>
      <w:tr w:rsidR="00D8305A" w:rsidTr="00D8305A">
        <w:tc>
          <w:tcPr>
            <w:tcW w:w="3192" w:type="dxa"/>
          </w:tcPr>
          <w:p w:rsidR="00D8305A" w:rsidRDefault="00D8305A" w:rsidP="00D8305A">
            <w:r>
              <w:t>Students Receiving Bilingual Services</w:t>
            </w:r>
          </w:p>
        </w:tc>
        <w:tc>
          <w:tcPr>
            <w:tcW w:w="3192" w:type="dxa"/>
          </w:tcPr>
          <w:p w:rsidR="00D8305A" w:rsidRDefault="00D8305A" w:rsidP="00D8305A">
            <w:r>
              <w:t>8</w:t>
            </w:r>
            <w:r w:rsidR="00A44036">
              <w:t>%</w:t>
            </w:r>
          </w:p>
        </w:tc>
        <w:tc>
          <w:tcPr>
            <w:tcW w:w="3192" w:type="dxa"/>
          </w:tcPr>
          <w:p w:rsidR="00D8305A" w:rsidRDefault="00D8305A" w:rsidP="00D8305A">
            <w:r>
              <w:t>6</w:t>
            </w:r>
            <w:r w:rsidR="00A44036">
              <w:t>%</w:t>
            </w:r>
          </w:p>
        </w:tc>
      </w:tr>
      <w:tr w:rsidR="00D8305A" w:rsidTr="00D8305A">
        <w:tc>
          <w:tcPr>
            <w:tcW w:w="3192" w:type="dxa"/>
          </w:tcPr>
          <w:p w:rsidR="00D8305A" w:rsidRDefault="00D8305A" w:rsidP="00D8305A">
            <w:r>
              <w:t>Students Receiving Special Education Services</w:t>
            </w:r>
          </w:p>
        </w:tc>
        <w:tc>
          <w:tcPr>
            <w:tcW w:w="3192" w:type="dxa"/>
          </w:tcPr>
          <w:p w:rsidR="00D8305A" w:rsidRDefault="00D8305A" w:rsidP="00D8305A">
            <w:r>
              <w:t>15</w:t>
            </w:r>
            <w:r w:rsidR="00A44036">
              <w:t>%</w:t>
            </w:r>
          </w:p>
        </w:tc>
        <w:tc>
          <w:tcPr>
            <w:tcW w:w="3192" w:type="dxa"/>
          </w:tcPr>
          <w:p w:rsidR="00D8305A" w:rsidRDefault="00D8305A" w:rsidP="00D8305A">
            <w:r>
              <w:t>20</w:t>
            </w:r>
            <w:r w:rsidR="00A44036">
              <w:t>%</w:t>
            </w:r>
          </w:p>
        </w:tc>
      </w:tr>
    </w:tbl>
    <w:p w:rsidR="00D8305A" w:rsidRDefault="00D8305A" w:rsidP="00D8305A"/>
    <w:p w:rsidR="00D8305A" w:rsidRDefault="00D8305A" w:rsidP="00D8305A">
      <w:r>
        <w:t>Safe and Supportive Schools Definitions</w:t>
      </w:r>
    </w:p>
    <w:tbl>
      <w:tblPr>
        <w:tblStyle w:val="TableGrid"/>
        <w:tblW w:w="0" w:type="auto"/>
        <w:tblLook w:val="04A0" w:firstRow="1" w:lastRow="0" w:firstColumn="1" w:lastColumn="0" w:noHBand="0" w:noVBand="1"/>
      </w:tblPr>
      <w:tblGrid>
        <w:gridCol w:w="3192"/>
        <w:gridCol w:w="3192"/>
        <w:gridCol w:w="3192"/>
      </w:tblGrid>
      <w:tr w:rsidR="00D8305A" w:rsidTr="00D8305A">
        <w:tc>
          <w:tcPr>
            <w:tcW w:w="3192" w:type="dxa"/>
          </w:tcPr>
          <w:p w:rsidR="00D8305A" w:rsidRDefault="00D8305A" w:rsidP="00D8305A"/>
        </w:tc>
        <w:tc>
          <w:tcPr>
            <w:tcW w:w="3192" w:type="dxa"/>
          </w:tcPr>
          <w:p w:rsidR="00D8305A" w:rsidRDefault="00D8305A" w:rsidP="00D8305A">
            <w:r>
              <w:t>Woonsocket</w:t>
            </w:r>
          </w:p>
        </w:tc>
        <w:tc>
          <w:tcPr>
            <w:tcW w:w="3192" w:type="dxa"/>
          </w:tcPr>
          <w:p w:rsidR="00D8305A" w:rsidRDefault="00D8305A" w:rsidP="00D8305A">
            <w:r>
              <w:t>Rhode Island</w:t>
            </w:r>
          </w:p>
        </w:tc>
      </w:tr>
      <w:tr w:rsidR="00D8305A" w:rsidTr="00D8305A">
        <w:tc>
          <w:tcPr>
            <w:tcW w:w="3192" w:type="dxa"/>
          </w:tcPr>
          <w:p w:rsidR="00D8305A" w:rsidRDefault="00D8305A" w:rsidP="00D8305A">
            <w:r>
              <w:t>Attendance Rate</w:t>
            </w:r>
          </w:p>
        </w:tc>
        <w:tc>
          <w:tcPr>
            <w:tcW w:w="3192" w:type="dxa"/>
          </w:tcPr>
          <w:p w:rsidR="00D8305A" w:rsidRDefault="00A44036" w:rsidP="00D8305A">
            <w:r>
              <w:t>84%</w:t>
            </w:r>
          </w:p>
        </w:tc>
        <w:tc>
          <w:tcPr>
            <w:tcW w:w="3192" w:type="dxa"/>
          </w:tcPr>
          <w:p w:rsidR="00D8305A" w:rsidRDefault="00A44036" w:rsidP="00D8305A">
            <w:r>
              <w:t>91%</w:t>
            </w:r>
          </w:p>
        </w:tc>
      </w:tr>
      <w:tr w:rsidR="00D8305A" w:rsidTr="00D8305A">
        <w:tc>
          <w:tcPr>
            <w:tcW w:w="3192" w:type="dxa"/>
          </w:tcPr>
          <w:p w:rsidR="00D8305A" w:rsidRDefault="00D8305A" w:rsidP="00D8305A">
            <w:r>
              <w:t>Chronic Absenteeism</w:t>
            </w:r>
          </w:p>
        </w:tc>
        <w:tc>
          <w:tcPr>
            <w:tcW w:w="3192" w:type="dxa"/>
          </w:tcPr>
          <w:p w:rsidR="00D8305A" w:rsidRDefault="00A44036" w:rsidP="00D8305A">
            <w:r>
              <w:t>36%</w:t>
            </w:r>
          </w:p>
        </w:tc>
        <w:tc>
          <w:tcPr>
            <w:tcW w:w="3192" w:type="dxa"/>
          </w:tcPr>
          <w:p w:rsidR="00D8305A" w:rsidRDefault="00A44036" w:rsidP="00D8305A">
            <w:r>
              <w:t>17%</w:t>
            </w:r>
          </w:p>
        </w:tc>
      </w:tr>
      <w:tr w:rsidR="00D8305A" w:rsidTr="00D8305A">
        <w:tc>
          <w:tcPr>
            <w:tcW w:w="3192" w:type="dxa"/>
          </w:tcPr>
          <w:p w:rsidR="00D8305A" w:rsidRDefault="00D8305A" w:rsidP="00D8305A">
            <w:r>
              <w:t>Percent Graduated in 2012</w:t>
            </w:r>
          </w:p>
        </w:tc>
        <w:tc>
          <w:tcPr>
            <w:tcW w:w="3192" w:type="dxa"/>
          </w:tcPr>
          <w:p w:rsidR="00D8305A" w:rsidRDefault="00A44036" w:rsidP="00D8305A">
            <w:r>
              <w:t>64.9%</w:t>
            </w:r>
          </w:p>
        </w:tc>
        <w:tc>
          <w:tcPr>
            <w:tcW w:w="3192" w:type="dxa"/>
          </w:tcPr>
          <w:p w:rsidR="00D8305A" w:rsidRDefault="00A44036" w:rsidP="00D8305A">
            <w:r>
              <w:t>77.1%</w:t>
            </w:r>
          </w:p>
        </w:tc>
      </w:tr>
      <w:tr w:rsidR="00D8305A" w:rsidTr="00D8305A">
        <w:tc>
          <w:tcPr>
            <w:tcW w:w="3192" w:type="dxa"/>
          </w:tcPr>
          <w:p w:rsidR="00D8305A" w:rsidRDefault="00D8305A" w:rsidP="00D8305A">
            <w:r>
              <w:t>Percent dropped out</w:t>
            </w:r>
          </w:p>
        </w:tc>
        <w:tc>
          <w:tcPr>
            <w:tcW w:w="3192" w:type="dxa"/>
          </w:tcPr>
          <w:p w:rsidR="00D8305A" w:rsidRDefault="00A44036" w:rsidP="00D8305A">
            <w:r>
              <w:t>21.7%</w:t>
            </w:r>
          </w:p>
        </w:tc>
        <w:tc>
          <w:tcPr>
            <w:tcW w:w="3192" w:type="dxa"/>
          </w:tcPr>
          <w:p w:rsidR="00D8305A" w:rsidRDefault="00A44036" w:rsidP="00D8305A">
            <w:r>
              <w:t>11.9%</w:t>
            </w:r>
          </w:p>
        </w:tc>
      </w:tr>
      <w:tr w:rsidR="00D8305A" w:rsidTr="00D8305A">
        <w:tc>
          <w:tcPr>
            <w:tcW w:w="3192" w:type="dxa"/>
          </w:tcPr>
          <w:p w:rsidR="00D8305A" w:rsidRDefault="00D8305A" w:rsidP="00D8305A">
            <w:r>
              <w:t>Percent Received GED</w:t>
            </w:r>
          </w:p>
        </w:tc>
        <w:tc>
          <w:tcPr>
            <w:tcW w:w="3192" w:type="dxa"/>
          </w:tcPr>
          <w:p w:rsidR="00D8305A" w:rsidRDefault="00A44036" w:rsidP="00D8305A">
            <w:r>
              <w:t>3.7%</w:t>
            </w:r>
          </w:p>
        </w:tc>
        <w:tc>
          <w:tcPr>
            <w:tcW w:w="3192" w:type="dxa"/>
          </w:tcPr>
          <w:p w:rsidR="00D8305A" w:rsidRDefault="00A44036" w:rsidP="00D8305A">
            <w:r>
              <w:t>3.2%</w:t>
            </w:r>
          </w:p>
        </w:tc>
      </w:tr>
      <w:tr w:rsidR="00D8305A" w:rsidTr="00D8305A">
        <w:tc>
          <w:tcPr>
            <w:tcW w:w="3192" w:type="dxa"/>
          </w:tcPr>
          <w:p w:rsidR="00D8305A" w:rsidRDefault="00D8305A" w:rsidP="00D8305A">
            <w:r>
              <w:t>Percent still in school</w:t>
            </w:r>
          </w:p>
        </w:tc>
        <w:tc>
          <w:tcPr>
            <w:tcW w:w="3192" w:type="dxa"/>
          </w:tcPr>
          <w:p w:rsidR="00D8305A" w:rsidRDefault="00A44036" w:rsidP="00D8305A">
            <w:r>
              <w:t>9.7%</w:t>
            </w:r>
          </w:p>
        </w:tc>
        <w:tc>
          <w:tcPr>
            <w:tcW w:w="3192" w:type="dxa"/>
          </w:tcPr>
          <w:p w:rsidR="00D8305A" w:rsidRDefault="00A44036" w:rsidP="00D8305A">
            <w:r>
              <w:t>7.8%</w:t>
            </w:r>
          </w:p>
        </w:tc>
      </w:tr>
    </w:tbl>
    <w:p w:rsidR="00D8305A" w:rsidRDefault="00D8305A" w:rsidP="00D8305A"/>
    <w:p w:rsidR="00A44036" w:rsidRDefault="00A44036" w:rsidP="00A44036">
      <w:pPr>
        <w:jc w:val="center"/>
      </w:pPr>
      <w:r>
        <w:t>Conclusion</w:t>
      </w:r>
    </w:p>
    <w:p w:rsidR="00A44036" w:rsidRDefault="00A44036" w:rsidP="00A44036">
      <w:r>
        <w:tab/>
        <w:t xml:space="preserve">As evidenced by the above information, Woonsocket is considerably worse-off than the majority of Rhode Island in terms of both economic status and academic performance and it is importance to examine how the two affect each other. Because of the economic status of the city as a whole there is </w:t>
      </w:r>
      <w:r>
        <w:lastRenderedPageBreak/>
        <w:t xml:space="preserve">less funding for the school; this means less qualified teachers and supplies for the students. With teachers that are not experienced in handling a classroom you get a teacher that is most likely indifferent or unable to control a rowdy group, leading to less teaching being done and more time enforcing rules or dealing with problems that may arise. This may attribute to the chronic absenteeism and thus the high dropout rate. Less supplies for the </w:t>
      </w:r>
      <w:proofErr w:type="gramStart"/>
      <w:r>
        <w:t>students</w:t>
      </w:r>
      <w:proofErr w:type="gramEnd"/>
      <w:r>
        <w:t xml:space="preserve"> means the more they have to buy themselves, and with a student body already in poverty it’s not unreasonable to assume that these supplies cannot be bought easily. Another factor that </w:t>
      </w:r>
      <w:r w:rsidR="003859E0">
        <w:t>may contribute to the high drop</w:t>
      </w:r>
      <w:r>
        <w:t xml:space="preserve">out rate is the number of children in Woonsocket who are below poverty level (35%). </w:t>
      </w:r>
      <w:r w:rsidR="003859E0">
        <w:t xml:space="preserve">Older siblings who are still in high school yet old enough to work may need to focus on earning enough money to support their family. All of these factors have resulted in a cyclical effect keeping the Woonsocket community in poverty and the student body struggling to keep up with the state average in terms of academic performance. </w:t>
      </w:r>
      <w:bookmarkStart w:id="0" w:name="_GoBack"/>
      <w:bookmarkEnd w:id="0"/>
    </w:p>
    <w:sectPr w:rsidR="00A440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410"/>
    <w:rsid w:val="00170410"/>
    <w:rsid w:val="002E333D"/>
    <w:rsid w:val="003859E0"/>
    <w:rsid w:val="00984270"/>
    <w:rsid w:val="00A44036"/>
    <w:rsid w:val="00D83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4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42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Public User</dc:creator>
  <cp:lastModifiedBy>Library Public User</cp:lastModifiedBy>
  <cp:revision>1</cp:revision>
  <dcterms:created xsi:type="dcterms:W3CDTF">2013-10-28T19:01:00Z</dcterms:created>
  <dcterms:modified xsi:type="dcterms:W3CDTF">2013-10-28T19:46:00Z</dcterms:modified>
</cp:coreProperties>
</file>